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e167d91c16346e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8914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GRABRIK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2.546.688,51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2.735.032,16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2.520.570,93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2.876.863,94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141.831,78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37.338,69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34.922,30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37.338,69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34.922,30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11.221,11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176.754,08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1575,2</w:t>
            </w:r>
          </w:p>
        </w:tc>
      </w:tr>
    </w:tbl>
    <w:p>
      <w:pPr>
        <w:spacing w:before="0" w:after="0"/>
      </w:pPr>
    </w:p>
    <w:p>
      <w:r>
        <w:t xml:space="preserve"> </w:t>
      </w:r>
    </w:p>
    <w:p>
      <w:r>
        <w:t xml:space="preserve">Manjak je znatno veći zbog uključenog troška obračuna plaće za trinaest mjeseci 2025., a prihod je ostvaren za dvanaest mjeseci. Razlog tome je ukidanje konta 193. Nadalje, prihod koji se doznačuje za školsku prehranu, od strane MZOM-a ostvaren je za razbolje do studenog 2025., a troškovi su nastali i evidentirani do 31. 12. 2025. Nadalje, za materijalne troškove čija sredstva doznačuje Osnivač i  koji su nastali u prosincu, s dospijećem u siječnju, nisu doznačena sredstva.  </w:t>
      </w:r>
    </w:p>
    <w:p>
      <w:r>
        <w:t xml:space="preserve">Zaključno, manjak je metodički jer će za svaki navedeni trošak biti doznačena sredstva u polovicom siječnja 2026. ovisno o dospijećnju plaćanja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2.168.335,48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2.335.286,07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w:t>
            </w:r>
          </w:p>
        </w:tc>
      </w:tr>
    </w:tbl>
    <w:p>
      <w:pPr>
        <w:spacing w:before="0" w:after="0"/>
      </w:pPr>
    </w:p>
    <w:p>
      <w:r>
        <w:t xml:space="preserve">Prihodi koji se doznačuju iz državnog proračuna - MZOM-a za plaće zaposlenika, županijska stručna vijeća i projekte. Ova pozicija bilježi porast zbog povećanih prihoda za isplatu plaća zaposlenika. Tokom godine, tri puta se osnovica za obračun plaće mjenjala te su shodno tome porasli i troškovi isplate plaće, kao i troškovi ostalih obaveznih davanja - doprinosi na i iz plaće.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31.421,36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28.450,80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r>
        <w:t xml:space="preserve">U odnosu na prethodnu godinu smanjio se trošak nabave novih udžbenika jer je dio udžbenika koji je nabavljen prošle godine bio iskoristiv za novu školsku godinu.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68.717,59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w:t>
            </w:r>
          </w:p>
        </w:tc>
      </w:tr>
    </w:tbl>
    <w:p>
      <w:pPr>
        <w:spacing w:before="0" w:after="0"/>
      </w:pPr>
    </w:p>
    <w:p>
      <w:r>
        <w:t xml:space="preserve">Prihodi koji uključuju uplate roditelja za produženi boravak i terensku nastavu. Došlo je do smanjenja u odnosu na prethodnu godinu jer je početkom nove školske godine upisan manji broj učenika u produženi boravak (za 31,50% , odnosno 34 učenika manje) pa su se smanjili i prihodi od uplata roditelja.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68.717,59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w:t>
            </w:r>
          </w:p>
        </w:tc>
      </w:tr>
    </w:tbl>
    <w:p>
      <w:pPr>
        <w:spacing w:before="0" w:after="0"/>
      </w:pPr>
    </w:p>
    <w:p>
      <w:r>
        <w:t xml:space="preserve">Prihodi koji uključuju uplate roditelja za produženi boravak i terensku nastavu. Došlo je do smanjenja u odnosu na prethodnu godinu jer je početkom nove školske godine upisan manji broj učenika u produženi boravak (za 31,50% , odnosno 34 učenika manje) pa su se smanjili i prihodi od uplata roditelja.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28.508,59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w:t>
            </w:r>
          </w:p>
        </w:tc>
      </w:tr>
    </w:tbl>
    <w:p>
      <w:pPr>
        <w:spacing w:before="0" w:after="0"/>
      </w:pPr>
    </w:p>
    <w:p>
      <w:r>
        <w:t xml:space="preserve">Pozicija se odnosi na prihode koje škola ostvaruje od najma školske sportske dvorane. Ove godine je manje ostvareno prihoda jer je dvoranu koristio manji broj korisnika, a tijekom srpnja i kolovoza 2025.g. dvorana se nije iznajmljivala zbog radova na dvorani, za razliku od prošle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27.148,59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w:t>
            </w:r>
          </w:p>
        </w:tc>
      </w:tr>
    </w:tbl>
    <w:p>
      <w:pPr>
        <w:spacing w:before="0" w:after="0"/>
      </w:pPr>
    </w:p>
    <w:p>
      <w:r>
        <w:t xml:space="preserve">Pozicija se odnosi na prihode koje škola ostvaruje od najma školske sportske dvorane. Ove godine je manje ostvareno prihoda jer je dvoranu koristio manji broj korisnika, a tijekom srpnja i kolovoza 2025.g. dvorana se nije iznajmljivala zbog radova na dvorani, za razliku od prošle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247.593,49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286.157,93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Sredstva koja se doznačuju iz gradskog proračuna za podmirenje materijalnih troškova te plaća učiteljica produženog boravka i pomoćnika u nastavi, kao i za radne udžbenike. Shodno tome više je doznačeno prihoda, jer su se povećali određeni  režijski troškovi (posebno računi za energiju i komunalne usluge) te je također došlo do povećanja osnovice za isplatu plaća i povećanja bruto satnice rada za pomoćnike u nastavi.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w:t>
            </w:r>
          </w:p>
        </w:tc>
      </w:tr>
    </w:tbl>
    <w:p>
      <w:pPr>
        <w:spacing w:before="0" w:after="0"/>
      </w:pPr>
    </w:p>
    <w:p>
      <w:r>
        <w:t xml:space="preserve">Zbog uvođenja novih sigurnosnih mjera i Protokola koji je donesen od strane MZOM-a početkom 2025. godine uložilo se u novi sigurnosni sustav te način ulaska u prostore Škole.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1.707.013,45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1.998.652,89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Povećani troškovi radi povećanja osnovice za isplatu plaće koje je bilo tri puta.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33.757,09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52.320,06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w:t>
            </w:r>
          </w:p>
        </w:tc>
      </w:tr>
    </w:tbl>
    <w:p>
      <w:pPr>
        <w:spacing w:before="0" w:after="0"/>
      </w:pPr>
    </w:p>
    <w:p>
      <w:r>
        <w:t xml:space="preserve">Ostavren je veći broj bolovanja zaposlenika te određena odsustva radi odlaka na edukacije i sl, shodno tome povećani su i prekovremeni sati rada jer je bilo potrebno zamijeniti odsutne zaposlenike.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76.620,89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78.594,18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Vidljivo odstupanje radi isplate materijalnih prava iz kolektivnog ugovora - smrt u obitelji, rođenje djeteta.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279.905,87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334.041,97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Odstupanje nastalo radi povećenja osnovice za isplatu plaća.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Rashodi koji se odnose na dnevnice za službena putovanja. Isti su porasli zbog više ostvarenih sudjelovanja na stručnim skupovima i na konferencijama.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40.137,63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44.912,89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Rashodi koji se odnose na troškove za službena putovanja. Isti su porasli zbog više ostvarenih sudjelovanja na stručnim skupovima i na konferencijama.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33.179,36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w:t>
            </w:r>
          </w:p>
        </w:tc>
      </w:tr>
    </w:tbl>
    <w:p>
      <w:pPr>
        <w:spacing w:before="0" w:after="0"/>
      </w:pPr>
    </w:p>
    <w:p>
      <w:r>
        <w:t xml:space="preserve">Radi povećanja drugih, prvenstveno režijskih troškova, tokom godine se nastoji racionalnije raspolagati nabavom uredskog matreijala kako bi se ostavrile određene uštede. Isti se nabavlja prema stvarnim potrebama i prioritetima.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151.812,87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137.233,47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w:t>
            </w:r>
          </w:p>
        </w:tc>
      </w:tr>
    </w:tbl>
    <w:p>
      <w:pPr>
        <w:spacing w:before="0" w:after="0"/>
      </w:pPr>
    </w:p>
    <w:p>
      <w:r>
        <w:t xml:space="preserve">Ova pozicija se odnosi  na trošak nabave namirnica za prehranu učenika. Početkom nove školske godine, smanjio se broj učenika koji koriste školsku prehranu. Također, radi povećanja cijena namirnica na tržištu, po potrebi se korigira jelovnik uvođenjem više kuhanih obroka te se nabava namirnica vrši racionalnije.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68.001,03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83.872,48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Škola koristi usluge grijanja Gradske toplanu i to je najveći izdatak kod materijalnih troškova. Početkom ove godine duže je trajala sezona grijanja, pa su time i porasli troškovi. Nakođer, došlo je i do povećanja cijene usluge grijanja.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210,4</w:t>
            </w:r>
          </w:p>
        </w:tc>
      </w:tr>
    </w:tbl>
    <w:p>
      <w:pPr>
        <w:spacing w:before="0" w:after="0"/>
      </w:pPr>
    </w:p>
    <w:p>
      <w:r>
        <w:t xml:space="preserve">Školi je odobren projektu „Grabrički mikrofon“ – dodatna aktivnost koja je odobrena od strane MZOM-a te je za realizaciju istoga bilo potrebno nabaviti opremu za snimanje kako bi se projekt mogao provoditi. Nadalje, radi uvođenja novih sigurnosnih mjera i Protokola koji je donesen od strane MZOM-a početkom novog polugodišta uložilo se u novi sigurnosni sustav te način ulaska u prostore Škole. Kupljeni su novi vatrogasni aparati.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17.834,62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Na ovoj poziciji evidentiraju se troškovi prijevoza na terensku nastavu učenika. Cijene tih usluga su u odnosu na prošlu godinu povećane.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Trošak objave oglasa u Narodnim novinama, poziv na javnu nabavu te objava oglasa za odabir ravnatelja škole.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Porasli su i troškovi na kontu komunalne usluge radi ugovaranja usluge za zbrinjavanja kuhinjskog otpada i odvoza masti (tzv „mastolovac“). Povećana je usluga odvoza smeća, kao i cijena vode.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w:t>
            </w:r>
          </w:p>
        </w:tc>
      </w:tr>
    </w:tbl>
    <w:p>
      <w:pPr>
        <w:spacing w:before="0" w:after="0"/>
      </w:pPr>
    </w:p>
    <w:p>
      <w:r>
        <w:t xml:space="preserve">Povećani troškovi zbog organizacije  natjecanja i stručnih skupova u školi.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176.754,08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1575,2</w:t>
            </w:r>
          </w:p>
        </w:tc>
      </w:tr>
    </w:tbl>
    <w:p>
      <w:pPr>
        <w:spacing w:before="0" w:after="0"/>
      </w:pPr>
    </w:p>
    <w:p>
      <w:r>
        <w:t xml:space="preserve">Manjak je znatno veći zbog uključenog troška obračuna plaće za trinaest mjeseci 2025., a prihod je ostvaren za dvanaest mjeseci. Razlog tome je ukidanje konta 193. Nadalje, prihod koji se doznačuje za školsku prehranu, od strane MZOM-a ostvaren je za razbolje do studenog 2025., a troškovi su nastali i evidentirani do 31. 12. 2025. Nadalje, za materijalne troškove čija sredstva doznačuje Osnivač i  koji su nastali u prosincu, s dospijećem u siječnju, nisu doznačena sredstva.  </w:t>
      </w:r>
    </w:p>
    <w:p>
      <w:r>
        <w:t xml:space="preserve">Zaključno, manjak je metodički jer će za svaki navedeni trošak biti doznačena sredstva u polovicom siječnja 2026. ovisno o dospijećnju plaćanja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187.725,77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1711,0</w:t>
            </w:r>
          </w:p>
        </w:tc>
      </w:tr>
    </w:tbl>
    <w:p>
      <w:pPr>
        <w:spacing w:before="0" w:after="0"/>
      </w:pPr>
    </w:p>
    <w:p>
      <w:r>
        <w:t xml:space="preserve">Manjak je znatno veći zbog uključenog troška obračuna plaće za trinaest mjeseci 2025., a prihod je ostvaren za dvanaest mjeseci. Razlog tome je ukidanje konta 193. Nadalje, prihod koji se doznačuje za školsku prehranu, od strane MZOM-a ostvaren je za razbolje do studenog 2025., a troškovi su nastali i evidentirani do 31. 12. 2025. Nadalje, za materijalne troškove čija sredstva doznačuje Osnivač i  koji su nastali u prosincu, s dospijećem u siječnju, nisu doznačena sredstva.  </w:t>
      </w:r>
    </w:p>
    <w:p>
      <w:r>
        <w:t xml:space="preserve">Zaključno, manjak je metodički jer će za svaki navedeni trošak biti doznačena sredstva u polovicom siječnja 2026. ovisno o dospijećnju plaćanja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2.758.809,47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2.693.353,08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w:t>
            </w:r>
          </w:p>
        </w:tc>
      </w:tr>
    </w:tbl>
    <w:p>
      <w:pPr>
        <w:spacing w:before="0" w:after="0"/>
      </w:pPr>
    </w:p>
    <w:p>
      <w:r>
        <w:t xml:space="preserve">Dio postojeće opreme koji je zbog dotrajalosti rashodovan, a vrijednost novonabavljene imovine nije znatno odstupilla došlo je do blagog smanjenja u odnosu na početno stanje.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666.521,50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681.142,53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Dio opreme radi dotrajalosti je rashodovan.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w:t>
            </w:r>
          </w:p>
        </w:tc>
      </w:tr>
    </w:tbl>
    <w:p>
      <w:pPr>
        <w:spacing w:before="0" w:after="0"/>
      </w:pPr>
    </w:p>
    <w:p>
      <w:r>
        <w:t xml:space="preserve">Pozicija prikazuje otvorena bolovanja na teret HZZO-a koje još nisu u potponosti refundirane (bolovanje iz prosinca 2025. g).</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185.126,08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novim izmjenama i dopunama Pravilnika o proračunskom računovodstvu, bilo je potrebno izvršiti nova knjiženja, odnosno sve pomoći doznačene iz državnog proračuna je potrebno provesti kroz konto potraživanja i zatvoriti s pripadajućim prihodom. U ovom slučaju, radi se o plaćama za prosinac 2025. godine, a za koje će prihod biti doznačen polovicom siječnja 2026. g.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8190,0</w:t>
            </w:r>
          </w:p>
        </w:tc>
      </w:tr>
    </w:tbl>
    <w:p>
      <w:pPr>
        <w:spacing w:before="0" w:after="0"/>
      </w:pPr>
    </w:p>
    <w:p>
      <w:r>
        <w:t xml:space="preserve">Ova pozicija se odnosi na stanje novčanih sredstava vlastitih prihoda. Veliko odstupanje je nastalo jer su se doznačila sredstva početkom siječnja 2025., a odnosila su se na rashode prosinca 2024. Također, doznačene su tekuće pomoći iz državnog proračuna za nove projkete koji su odobreni od strane MZOM-a a realizacija istih će biti u 2026. godini.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176.327,97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193.439,52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Do ostupanja je došlo radi povećanja osnovice plaće, koje je tokom godine bilo tri puta.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15.734,35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30.264,36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w:t>
            </w:r>
          </w:p>
        </w:tc>
      </w:tr>
    </w:tbl>
    <w:p>
      <w:pPr>
        <w:spacing w:before="0" w:after="0"/>
      </w:pPr>
    </w:p>
    <w:p>
      <w:r>
        <w:t xml:space="preserve">Pozicija bilježi znatno odstupanje jer su na istoj evidentirani rashodi kojima je dospijeće u 2026. godine. Primjerice, uključena su dva računa za električnu energiju te toplanu a ti računi po cijeni znatno odudaraju.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-187.725,77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1711,0</w:t>
            </w:r>
          </w:p>
        </w:tc>
      </w:tr>
    </w:tbl>
    <w:p>
      <w:pPr>
        <w:spacing w:before="0" w:after="0"/>
      </w:pPr>
    </w:p>
    <w:p>
      <w:r>
        <w:t xml:space="preserve">Manjak je znatno veći zbog uključenog troška obračuna plaće za trinaest mjeseci 2025., a prihod je ostvaren za dvanaest mjeseci. Razlog tome je ukidanje konta 193. Nadalje, prihod koji se doznačuje za školsku prehranu, od strane MZOM-a ostvaren je za razbolje do studenog 2025., a troškovi su nastali i evidentirani do 31. 12. 2025. Nadalje, za materijalne troškove čija sredstva doznačuje Osnivač i  koji su nastali u prosincu, s dospijećem u siječnju, nisu doznačena sredstva.  </w:t>
      </w:r>
    </w:p>
    <w:p>
      <w:r>
        <w:t xml:space="preserve">Zaključno, manjak je metodički jer će za svaki navedeni trošak biti doznačena sredstva u polovicom siječnja 2026. ovisno o dospijećnju plaćanja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2.429.602,91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2.793.045,31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Rashodi su veći u odnosu na prethodnu godinu radi povećanja troškova obračuna plaće (radi povaćanja osnovice) i većih režijskih troškova.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118.740,93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bl>
    <w:p>
      <w:pPr>
        <w:spacing w:before="0" w:after="0"/>
      </w:pPr>
    </w:p>
    <w:p>
      <w:r>
        <w:t xml:space="preserve">Rashodi za nabavu namirnica su smanjeni u odnosu na prethodnu godinu radi smanjenog broja učenika i racionalnijeg raspolaganja nabavkom namirnica.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kratkotrajna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100.065,29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imovine se odnose na rashod udžbenika iz ranijih godina i dotrajale opreme. </w:t>
      </w:r>
    </w:p>
    <w:p>
      <w:r>
        <w:t xml:space="preserve">Prema izmjenama Pravilnika, evidentira se ispravak vrijednosti opreme.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evidentiranih dospijelih obveza.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224.171,25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ima samo nedospjele obveze jer se navedene odnose na obveze za isplatu plaće, doprinose na plaće, prijevoz na posao za 12. mjesec, a koji se isplaćuju početkom siječnja 2026. Ostale obveze odnose na račune za režijske troškove za prosinac, prema dospijeću plaćanja u siječnju 2026. godine.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koja se odnosi na bolovanja na teret HZZO-a koje nije refundirano. </w:t>
      </w:r>
    </w:p>
    <w:p/>
    <w:p>
      <w:pPr>
        <w:jc w:val="center"/>
        <w:pStyle w:val="Normal"/>
        <w:spacing w:line="240" w:lineRule="auto"/>
        <w:keepNext/>
      </w:pPr>
      <w:r>
        <w:rPr>
          <w:sz w:val="28"/>
          <w:rFonts w:ascii="Times New Roman" w:hAnsi="Times New Roman"/>
        </w:rPr>
        <w:t xml:space="preserve">Bilješka 40.</w:t>
      </w:r>
    </w:p>
    <w:p>
      <w:pPr>
        <w:jc w:val="both"/>
        <w:pStyle w:val="Normal"/>
        <w:spacing w:line="240" w:lineRule="auto"/>
      </w:pPr>
      <w:r>
        <w:rPr>
          <w:b/>
          <w:sz w:val="24"/>
          <w:rFonts w:ascii="Times New Roman" w:hAnsi="Times New Roman"/>
        </w:rPr>
        <w:t xml:space="preserve">EU izvještaj</w:t>
      </w:r>
    </w:p>
    <w:p>
      <w:r>
        <w:t xml:space="preserve">U ovom izvještaju prikazuju se troškovi doznačeni iz Eu fondova.</w:t>
      </w:r>
    </w:p>
    <w:p>
      <w:r>
        <w:t xml:space="preserve">Škola prikazuje prihod za projekt "Medni dan" - doznačeno 272,00 € te je isti iznos utrošen.</w:t>
      </w:r>
    </w:p>
    <w:p>
      <w:r>
        <w:t xml:space="preserve">Uz gore navedeno, izvještaj prikazuje i prihode i rashode za pomoćnike u nastavi.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d53398b529b4366" /></Relationships>
</file>